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635A2" w:rsidR="002C2E29" w:rsidP="00E635A2" w:rsidRDefault="004033D8" w14:paraId="7F6961A1" w14:textId="77777777">
      <w:pPr>
        <w:jc w:val="right"/>
        <w:rPr>
          <w:b/>
          <w:bCs/>
          <w:sz w:val="20"/>
          <w:szCs w:val="20"/>
        </w:rPr>
      </w:pPr>
      <w:r w:rsidRPr="00E635A2">
        <w:rPr>
          <w:rFonts w:hint="cs"/>
          <w:sz w:val="20"/>
          <w:szCs w:val="20"/>
          <w:rtl/>
        </w:rPr>
        <w:t xml:space="preserve">מספר פנימי: </w:t>
      </w:r>
      <w:bookmarkStart w:name="LGS_Internal_ID" w:id="0"/>
      <w:r>
        <w:rPr>
          <w:rFonts w:hint="cs"/>
          <w:sz w:val="20"/>
          <w:szCs w:val="20"/>
          <w:rtl/>
        </w:rPr>
        <w:t>2197145</w:t>
      </w:r>
      <w:bookmarkEnd w:id="0"/>
    </w:p>
    <w:p w:rsidRPr="00DB7060" w:rsidR="00E13C27" w:rsidP="00A443CF" w:rsidRDefault="00E13C27" w14:paraId="7F6961A2" w14:textId="53D639AE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name="LGS_Knesset_Num" w:id="1"/>
      <w:r>
        <w:rPr>
          <w:rFonts w:hint="cs"/>
          <w:sz w:val="28"/>
          <w:szCs w:val="28"/>
          <w:rtl/>
        </w:rPr>
        <w:t>העשרים וחמש</w:t>
      </w:r>
      <w:bookmarkEnd w:id="1"/>
    </w:p>
    <w:p w:rsidRPr="00F67051" w:rsidR="00E13C27" w:rsidP="00E13C27" w:rsidRDefault="00E13C27" w14:paraId="7F6961A3" w14:textId="77777777">
      <w:pPr>
        <w:rPr>
          <w:b/>
          <w:bCs/>
          <w:sz w:val="26"/>
          <w:szCs w:val="26"/>
          <w:rtl/>
        </w:rPr>
      </w:pPr>
    </w:p>
    <w:p w:rsidR="00E13C27" w:rsidP="00930EFE" w:rsidRDefault="008F6665" w14:paraId="7F6961A6" w14:textId="77777777">
      <w:pPr>
        <w:pStyle w:val="David"/>
        <w:ind w:left="3544"/>
        <w:rPr>
          <w:b/>
          <w:bCs/>
          <w:rtl/>
        </w:rPr>
      </w:pPr>
      <w:bookmarkStart w:name="LGS_Initiators_List" w:id="2"/>
      <w:r>
        <w:rPr>
          <w:b/>
          <w:bCs/>
          <w:rtl/>
        </w:rPr>
        <w:t>יוזם:</w:t>
      </w:r>
      <w:r>
        <w:tab/>
      </w:r>
      <w:r>
        <w:rPr>
          <w:b/>
          <w:bCs/>
          <w:rtl/>
        </w:rPr>
        <w:t xml:space="preserve">      חבר הכנסת</w:t>
      </w:r>
      <w:bookmarkEnd w:id="2"/>
      <w:r w:rsidRPr="00F67051" w:rsidR="00B35784">
        <w:rPr>
          <w:b/>
          <w:bCs/>
        </w:rPr>
        <w:tab/>
      </w:r>
      <w:bookmarkStart w:name="LGS_PM_Names" w:id="3"/>
      <w:r>
        <w:rPr>
          <w:rFonts w:hint="cs"/>
          <w:b/>
          <w:bCs/>
          <w:rtl/>
        </w:rPr>
        <w:t>ינון אזולאי</w:t>
      </w:r>
      <w:bookmarkEnd w:id="3"/>
    </w:p>
    <w:p w:rsidRPr="00CF1AA2" w:rsidR="00E13C27" w:rsidP="0036422C" w:rsidRDefault="007D585A" w14:paraId="7F6961AA" w14:textId="39F9D96B">
      <w:pPr>
        <w:pStyle w:val="David"/>
        <w:ind w:left="3544"/>
        <w:rPr>
          <w:b/>
          <w:bCs/>
          <w:sz w:val="16"/>
          <w:szCs w:val="16"/>
          <w:rtl/>
        </w:rPr>
      </w:pPr>
      <w:bookmarkStart w:name="LGS_Join_List" w:id="4"/>
      <w:r>
        <w:rPr>
          <w:rtl/>
        </w:rPr>
        <w:t xml:space="preserve"> </w:t>
      </w:r>
      <w:bookmarkEnd w:id="4"/>
      <w:r w:rsidRPr="00CF1AA2" w:rsidR="002200A1">
        <w:rPr>
          <w:rFonts w:hint="cs"/>
          <w:rtl/>
        </w:rPr>
        <w:tab/>
      </w:r>
      <w:bookmarkStart w:name="LGS_PM_NamesJoin" w:id="5"/>
      <w:r>
        <w:rPr>
          <w:rFonts w:hint="cs"/>
          <w:rtl/>
        </w:rPr>
        <w:t xml:space="preserve"> </w:t>
      </w:r>
      <w:bookmarkEnd w:id="5"/>
    </w:p>
    <w:p w:rsidRPr="00904591" w:rsidR="00904591" w:rsidP="0036422C" w:rsidRDefault="00266D86" w14:paraId="34DB4103" w14:textId="77777777">
      <w:pPr>
        <w:pStyle w:val="David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Pr="00E06736" w:rsidR="00E06736">
        <w:tab/>
      </w:r>
      <w:r w:rsidRPr="00E06736" w:rsidR="00E13C27">
        <w:rPr>
          <w:rFonts w:hint="cs"/>
          <w:rtl/>
        </w:rPr>
        <w:tab/>
      </w:r>
      <w:r w:rsidRPr="00E06736" w:rsidR="00E13C27">
        <w:rPr>
          <w:rFonts w:hint="cs"/>
          <w:rtl/>
        </w:rPr>
        <w:tab/>
      </w:r>
      <w:r w:rsidRPr="00E06736" w:rsidR="00E13C27">
        <w:rPr>
          <w:rFonts w:hint="cs"/>
          <w:rtl/>
        </w:rPr>
        <w:tab/>
      </w:r>
      <w:r w:rsidR="00904591">
        <w:t xml:space="preserve">           </w:t>
      </w:r>
    </w:p>
    <w:p w:rsidRPr="00E06736" w:rsidR="00E13C27" w:rsidP="00904591" w:rsidRDefault="00904591" w14:paraId="7F6961AB" w14:textId="642951E9">
      <w:pPr>
        <w:pStyle w:val="David"/>
        <w:spacing w:line="240" w:lineRule="auto"/>
        <w:ind w:left="3544"/>
        <w:rPr>
          <w:rtl/>
        </w:rPr>
      </w:pPr>
      <w:r>
        <w:t xml:space="preserve">                                            </w:t>
      </w:r>
      <w:r w:rsidR="008F1308">
        <w:t xml:space="preserve"> </w:t>
      </w:r>
      <w:bookmarkStart w:name="Private_Number" w:id="6"/>
      <w:r w:rsidR="00D21730">
        <w:rPr>
          <w:rtl/>
        </w:rPr>
        <w:tab/>
      </w:r>
      <w:r>
        <w:rPr>
          <w:rFonts w:hint="cs"/>
          <w:rtl/>
        </w:rPr>
        <w:t>פ/613/25</w:t>
      </w:r>
      <w:bookmarkEnd w:id="6"/>
    </w:p>
    <w:p w:rsidR="00E13C27" w:rsidP="00E13C27" w:rsidRDefault="00E13C27" w14:paraId="7F6961AC" w14:textId="77777777">
      <w:pPr>
        <w:ind w:left="2880" w:firstLine="720"/>
        <w:rPr>
          <w:sz w:val="26"/>
          <w:szCs w:val="26"/>
          <w:rtl/>
        </w:rPr>
      </w:pPr>
    </w:p>
    <w:p w:rsidRPr="00F67051" w:rsidR="00E13C27" w:rsidP="00D21730" w:rsidRDefault="00A443CF" w14:paraId="7F6961AD" w14:textId="75F3690D">
      <w:pPr>
        <w:pStyle w:val="HeadHatzaotHok"/>
        <w:rPr>
          <w:rtl/>
        </w:rPr>
      </w:pPr>
      <w:bookmarkStart w:name="LGS_Subject" w:id="7"/>
      <w:r>
        <w:rPr>
          <w:rFonts w:hint="cs"/>
          <w:rtl/>
        </w:rPr>
        <w:t>הצעת חוק פיצויי פיטורים (תיקון – פיצויי פיטורים למתגייס לרשות הארצית לכבאות והצלה), התשפ"ג</w:t>
      </w:r>
      <w:r w:rsidRPr="00DF6726" w:rsidR="00D21730">
        <w:rPr>
          <w:rFonts w:hint="cs"/>
          <w:b w:val="0"/>
          <w:bCs w:val="0"/>
          <w:rtl/>
        </w:rPr>
        <w:t>–</w:t>
      </w:r>
      <w:r>
        <w:rPr>
          <w:rFonts w:hint="cs"/>
          <w:rtl/>
        </w:rPr>
        <w:t>2022</w:t>
      </w:r>
      <w:bookmarkEnd w:id="7"/>
    </w:p>
    <w:p w:rsidR="00E13C27" w:rsidP="0021633A" w:rsidRDefault="00E13C27" w14:paraId="7F6961AE" w14:textId="77777777">
      <w:pPr>
        <w:pStyle w:val="HeadDivreiHesber"/>
        <w:spacing w:before="0" w:after="0"/>
        <w:rPr>
          <w:rtl/>
        </w:rPr>
      </w:pPr>
    </w:p>
    <w:tbl>
      <w:tblPr>
        <w:bidiVisual/>
        <w:tblW w:w="9638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1871"/>
        <w:gridCol w:w="624"/>
        <w:gridCol w:w="7143"/>
      </w:tblGrid>
      <w:tr w:rsidRPr="00DF6726" w:rsidR="006E42C4" w:rsidTr="00D21730" w14:paraId="42645D23" w14:textId="77777777">
        <w:trPr>
          <w:cantSplit/>
        </w:trPr>
        <w:tc>
          <w:tcPr>
            <w:tcW w:w="1871" w:type="dxa"/>
          </w:tcPr>
          <w:p w:rsidRPr="00DF6726" w:rsidR="006E42C4" w:rsidP="00F26368" w:rsidRDefault="006E42C4" w14:paraId="4816F0A1" w14:textId="77777777">
            <w:pPr>
              <w:pStyle w:val="TableSideHeading"/>
              <w:keepLines w:val="0"/>
            </w:pPr>
            <w:r w:rsidRPr="00DF6726">
              <w:rPr>
                <w:rFonts w:hint="cs"/>
                <w:rtl/>
              </w:rPr>
              <w:t>תיקון סעיף 11</w:t>
            </w:r>
          </w:p>
        </w:tc>
        <w:tc>
          <w:tcPr>
            <w:tcW w:w="624" w:type="dxa"/>
          </w:tcPr>
          <w:p w:rsidRPr="00DF6726" w:rsidR="006E42C4" w:rsidP="00F26368" w:rsidRDefault="006E42C4" w14:paraId="331A24A2" w14:textId="77777777">
            <w:pPr>
              <w:pStyle w:val="TableText"/>
              <w:keepLines w:val="0"/>
            </w:pPr>
            <w:r w:rsidRPr="00DF6726">
              <w:rPr>
                <w:rFonts w:hint="cs"/>
                <w:rtl/>
              </w:rPr>
              <w:t>1.</w:t>
            </w:r>
          </w:p>
        </w:tc>
        <w:tc>
          <w:tcPr>
            <w:tcW w:w="7143" w:type="dxa"/>
          </w:tcPr>
          <w:p w:rsidRPr="00D21730" w:rsidR="006E42C4" w:rsidP="00D21730" w:rsidRDefault="006E42C4" w14:paraId="0CFC3405" w14:textId="77777777">
            <w:pPr>
              <w:pStyle w:val="TableBlock"/>
              <w:tabs>
                <w:tab w:val="left" w:pos="624"/>
                <w:tab w:val="left" w:pos="1247"/>
              </w:tabs>
            </w:pPr>
            <w:r w:rsidRPr="00D21730">
              <w:rPr>
                <w:rtl/>
              </w:rPr>
              <w:t>בחוק פיצויי פיטורים</w:t>
            </w:r>
            <w:r w:rsidRPr="00D21730">
              <w:rPr>
                <w:rFonts w:hint="cs"/>
                <w:rtl/>
              </w:rPr>
              <w:t>,</w:t>
            </w:r>
            <w:r w:rsidRPr="00D21730">
              <w:rPr>
                <w:rtl/>
              </w:rPr>
              <w:t xml:space="preserve"> </w:t>
            </w:r>
            <w:r w:rsidRPr="00D21730">
              <w:rPr>
                <w:rFonts w:hint="cs"/>
                <w:rtl/>
              </w:rPr>
              <w:t>ה</w:t>
            </w:r>
            <w:r w:rsidRPr="00D21730">
              <w:rPr>
                <w:rtl/>
              </w:rPr>
              <w:t>תשכ"ג</w:t>
            </w:r>
            <w:r w:rsidRPr="00D21730">
              <w:rPr>
                <w:rFonts w:hint="cs"/>
                <w:rtl/>
              </w:rPr>
              <w:t>–</w:t>
            </w:r>
            <w:r w:rsidRPr="00D21730">
              <w:rPr>
                <w:rtl/>
              </w:rPr>
              <w:t>1963</w:t>
            </w:r>
            <w:r w:rsidRPr="00D21730">
              <w:rPr>
                <w:vertAlign w:val="superscript"/>
                <w:rtl/>
              </w:rPr>
              <w:footnoteReference w:id="2"/>
            </w:r>
            <w:r w:rsidRPr="00D21730">
              <w:rPr>
                <w:rFonts w:hint="cs"/>
                <w:rtl/>
              </w:rPr>
              <w:t>,</w:t>
            </w:r>
            <w:r w:rsidRPr="00D21730">
              <w:rPr>
                <w:rtl/>
              </w:rPr>
              <w:t xml:space="preserve"> בסעיף </w:t>
            </w:r>
            <w:r w:rsidRPr="00D21730">
              <w:rPr>
                <w:rFonts w:hint="cs"/>
                <w:rtl/>
              </w:rPr>
              <w:t xml:space="preserve">11א </w:t>
            </w:r>
            <w:r w:rsidRPr="00D21730">
              <w:rPr>
                <w:rFonts w:hint="eastAsia"/>
                <w:rtl/>
              </w:rPr>
              <w:t>–</w:t>
            </w:r>
            <w:r w:rsidRPr="00D21730">
              <w:rPr>
                <w:rFonts w:hint="cs"/>
                <w:rtl/>
              </w:rPr>
              <w:t xml:space="preserve"> </w:t>
            </w:r>
          </w:p>
        </w:tc>
      </w:tr>
      <w:tr w:rsidRPr="00DF6726" w:rsidR="006E42C4" w:rsidTr="00D21730" w14:paraId="4F405EB6" w14:textId="77777777">
        <w:trPr>
          <w:cantSplit/>
        </w:trPr>
        <w:tc>
          <w:tcPr>
            <w:tcW w:w="1871" w:type="dxa"/>
          </w:tcPr>
          <w:p w:rsidRPr="00DF6726" w:rsidR="006E42C4" w:rsidP="00F26368" w:rsidRDefault="006E42C4" w14:paraId="1F55DFD5" w14:textId="77777777">
            <w:pPr>
              <w:pStyle w:val="TableSideHeading"/>
              <w:keepLines w:val="0"/>
            </w:pPr>
          </w:p>
        </w:tc>
        <w:tc>
          <w:tcPr>
            <w:tcW w:w="624" w:type="dxa"/>
          </w:tcPr>
          <w:p w:rsidRPr="00DF6726" w:rsidR="006E42C4" w:rsidP="00F26368" w:rsidRDefault="006E42C4" w14:paraId="3C78B93C" w14:textId="77777777">
            <w:pPr>
              <w:pStyle w:val="TableText"/>
              <w:keepLines w:val="0"/>
            </w:pPr>
          </w:p>
        </w:tc>
        <w:tc>
          <w:tcPr>
            <w:tcW w:w="7143" w:type="dxa"/>
          </w:tcPr>
          <w:p w:rsidRPr="00DF6726" w:rsidR="006E42C4" w:rsidP="00D21730" w:rsidRDefault="006E42C4" w14:paraId="7E66F7E1" w14:textId="77777777">
            <w:pPr>
              <w:pStyle w:val="TableBlock"/>
              <w:tabs>
                <w:tab w:val="left" w:pos="624"/>
                <w:tab w:val="left" w:pos="1247"/>
              </w:tabs>
              <w:rPr>
                <w:rtl/>
              </w:rPr>
            </w:pPr>
            <w:r w:rsidRPr="00DF6726">
              <w:rPr>
                <w:rFonts w:hint="cs"/>
                <w:rtl/>
              </w:rPr>
              <w:t>(1)</w:t>
            </w:r>
            <w:r w:rsidRPr="00DF6726">
              <w:rPr>
                <w:rtl/>
              </w:rPr>
              <w:tab/>
              <w:t>בכותרת הסעיף</w:t>
            </w:r>
            <w:r w:rsidRPr="00DF6726">
              <w:rPr>
                <w:rFonts w:hint="cs"/>
                <w:rtl/>
              </w:rPr>
              <w:t>, במקום האמור בה יבוא "</w:t>
            </w:r>
            <w:r w:rsidRPr="00DF6726">
              <w:rPr>
                <w:rFonts w:hint="eastAsia"/>
                <w:rtl/>
              </w:rPr>
              <w:t>פיצויים</w:t>
            </w:r>
            <w:r w:rsidRPr="00DF6726">
              <w:rPr>
                <w:rtl/>
              </w:rPr>
              <w:t xml:space="preserve"> </w:t>
            </w:r>
            <w:r w:rsidRPr="00DF6726">
              <w:rPr>
                <w:rFonts w:hint="eastAsia"/>
                <w:rtl/>
              </w:rPr>
              <w:t>למתגייס</w:t>
            </w:r>
            <w:r w:rsidRPr="00DF6726">
              <w:rPr>
                <w:rtl/>
              </w:rPr>
              <w:t xml:space="preserve"> </w:t>
            </w:r>
            <w:r w:rsidRPr="00DF6726">
              <w:rPr>
                <w:rFonts w:hint="cs"/>
                <w:rtl/>
              </w:rPr>
              <w:t>ל</w:t>
            </w:r>
            <w:r w:rsidRPr="00DF6726">
              <w:rPr>
                <w:rFonts w:hint="eastAsia"/>
                <w:rtl/>
              </w:rPr>
              <w:t>עבודה</w:t>
            </w:r>
            <w:r w:rsidRPr="00DF6726">
              <w:rPr>
                <w:rtl/>
              </w:rPr>
              <w:t xml:space="preserve"> </w:t>
            </w:r>
            <w:r w:rsidRPr="00DF6726">
              <w:rPr>
                <w:rFonts w:hint="eastAsia"/>
                <w:rtl/>
              </w:rPr>
              <w:t>בשירותי</w:t>
            </w:r>
            <w:r w:rsidRPr="00DF6726">
              <w:rPr>
                <w:rtl/>
              </w:rPr>
              <w:t xml:space="preserve"> </w:t>
            </w:r>
            <w:r w:rsidRPr="00DF6726">
              <w:rPr>
                <w:rFonts w:hint="eastAsia"/>
                <w:rtl/>
              </w:rPr>
              <w:t>בטחון</w:t>
            </w:r>
            <w:r w:rsidRPr="00DF6726">
              <w:rPr>
                <w:rtl/>
              </w:rPr>
              <w:t xml:space="preserve"> </w:t>
            </w:r>
            <w:r w:rsidRPr="00DF6726">
              <w:rPr>
                <w:rFonts w:hint="eastAsia"/>
                <w:rtl/>
              </w:rPr>
              <w:t>והצלה</w:t>
            </w:r>
            <w:r w:rsidRPr="00DF6726">
              <w:rPr>
                <w:rtl/>
              </w:rPr>
              <w:t>";</w:t>
            </w:r>
          </w:p>
        </w:tc>
      </w:tr>
      <w:tr w:rsidRPr="00DF6726" w:rsidR="006E42C4" w:rsidTr="00D21730" w14:paraId="367A4707" w14:textId="77777777">
        <w:trPr>
          <w:cantSplit/>
        </w:trPr>
        <w:tc>
          <w:tcPr>
            <w:tcW w:w="1871" w:type="dxa"/>
          </w:tcPr>
          <w:p w:rsidRPr="00DF6726" w:rsidR="006E42C4" w:rsidP="00F26368" w:rsidRDefault="006E42C4" w14:paraId="737E3C36" w14:textId="77777777">
            <w:pPr>
              <w:pStyle w:val="TableSideHeading"/>
              <w:keepLines w:val="0"/>
            </w:pPr>
          </w:p>
        </w:tc>
        <w:tc>
          <w:tcPr>
            <w:tcW w:w="624" w:type="dxa"/>
          </w:tcPr>
          <w:p w:rsidRPr="00DF6726" w:rsidR="006E42C4" w:rsidP="00F26368" w:rsidRDefault="006E42C4" w14:paraId="4CD8EA7D" w14:textId="77777777">
            <w:pPr>
              <w:pStyle w:val="TableText"/>
              <w:keepLines w:val="0"/>
            </w:pPr>
          </w:p>
        </w:tc>
        <w:tc>
          <w:tcPr>
            <w:tcW w:w="7143" w:type="dxa"/>
          </w:tcPr>
          <w:p w:rsidRPr="00DF6726" w:rsidR="006E42C4" w:rsidP="00D21730" w:rsidRDefault="006E42C4" w14:paraId="38A89574" w14:textId="77777777">
            <w:pPr>
              <w:pStyle w:val="TableBlock"/>
              <w:tabs>
                <w:tab w:val="left" w:pos="624"/>
                <w:tab w:val="left" w:pos="1247"/>
              </w:tabs>
              <w:rPr>
                <w:rtl/>
              </w:rPr>
            </w:pPr>
            <w:r w:rsidRPr="00DF6726">
              <w:rPr>
                <w:rFonts w:hint="cs"/>
                <w:rtl/>
              </w:rPr>
              <w:t>(2)</w:t>
            </w:r>
            <w:r w:rsidRPr="00DF6726">
              <w:rPr>
                <w:rtl/>
              </w:rPr>
              <w:tab/>
            </w:r>
            <w:r w:rsidRPr="00DF6726">
              <w:rPr>
                <w:rFonts w:hint="cs"/>
                <w:rtl/>
              </w:rPr>
              <w:t xml:space="preserve">ברישה, במקום "או לשירות בתי הסוהר" יבוא "לשירות בתי הסוהר </w:t>
            </w:r>
            <w:r w:rsidRPr="00DF6726">
              <w:rPr>
                <w:rtl/>
              </w:rPr>
              <w:t>או לרשות הארצית לכבאות והצלה"</w:t>
            </w:r>
            <w:r w:rsidRPr="00DF6726">
              <w:rPr>
                <w:rFonts w:hint="cs"/>
                <w:rtl/>
              </w:rPr>
              <w:t>;</w:t>
            </w:r>
          </w:p>
        </w:tc>
      </w:tr>
      <w:tr w:rsidRPr="00DF6726" w:rsidR="006E42C4" w:rsidTr="00D21730" w14:paraId="646CB580" w14:textId="77777777">
        <w:trPr>
          <w:cantSplit/>
        </w:trPr>
        <w:tc>
          <w:tcPr>
            <w:tcW w:w="1871" w:type="dxa"/>
          </w:tcPr>
          <w:p w:rsidRPr="00DF6726" w:rsidR="006E42C4" w:rsidP="00F26368" w:rsidRDefault="006E42C4" w14:paraId="0C03A0C0" w14:textId="77777777">
            <w:pPr>
              <w:pStyle w:val="TableSideHeading"/>
              <w:keepLines w:val="0"/>
            </w:pPr>
          </w:p>
        </w:tc>
        <w:tc>
          <w:tcPr>
            <w:tcW w:w="624" w:type="dxa"/>
          </w:tcPr>
          <w:p w:rsidRPr="00DF6726" w:rsidR="006E42C4" w:rsidP="00F26368" w:rsidRDefault="006E42C4" w14:paraId="023AAAFD" w14:textId="77777777">
            <w:pPr>
              <w:pStyle w:val="TableText"/>
              <w:keepLines w:val="0"/>
            </w:pPr>
          </w:p>
        </w:tc>
        <w:tc>
          <w:tcPr>
            <w:tcW w:w="7143" w:type="dxa"/>
          </w:tcPr>
          <w:p w:rsidRPr="00DF6726" w:rsidR="006E42C4" w:rsidP="00D21730" w:rsidRDefault="006E42C4" w14:paraId="1FBE5918" w14:textId="77777777">
            <w:pPr>
              <w:pStyle w:val="TableBlock"/>
              <w:tabs>
                <w:tab w:val="left" w:pos="624"/>
                <w:tab w:val="left" w:pos="1247"/>
              </w:tabs>
              <w:rPr>
                <w:rtl/>
              </w:rPr>
            </w:pPr>
            <w:r w:rsidRPr="00DF6726">
              <w:rPr>
                <w:rFonts w:hint="cs"/>
                <w:rtl/>
              </w:rPr>
              <w:t>(3)</w:t>
            </w:r>
            <w:r w:rsidRPr="00DF6726">
              <w:rPr>
                <w:rtl/>
              </w:rPr>
              <w:tab/>
            </w:r>
            <w:r w:rsidRPr="00DF6726">
              <w:rPr>
                <w:rFonts w:hint="cs"/>
                <w:rtl/>
              </w:rPr>
              <w:t xml:space="preserve">בפסקה (1), </w:t>
            </w:r>
            <w:r w:rsidRPr="00DF6726">
              <w:rPr>
                <w:rtl/>
              </w:rPr>
              <w:t xml:space="preserve"> </w:t>
            </w:r>
            <w:r w:rsidRPr="00DF6726">
              <w:rPr>
                <w:rFonts w:hint="cs"/>
                <w:rtl/>
              </w:rPr>
              <w:t xml:space="preserve">במקום "או בשירות בתי הסוהר" יבוא "בשירות בתי הסוהר </w:t>
            </w:r>
            <w:r w:rsidRPr="00DF6726">
              <w:rPr>
                <w:rtl/>
              </w:rPr>
              <w:t xml:space="preserve">או </w:t>
            </w:r>
            <w:r w:rsidRPr="00DF6726">
              <w:rPr>
                <w:rFonts w:hint="cs"/>
                <w:rtl/>
              </w:rPr>
              <w:t>ב</w:t>
            </w:r>
            <w:r w:rsidRPr="00DF6726">
              <w:rPr>
                <w:rtl/>
              </w:rPr>
              <w:t>רשות הארצית לכבאות והצלה"</w:t>
            </w:r>
            <w:r w:rsidRPr="00DF6726">
              <w:rPr>
                <w:rFonts w:hint="cs"/>
                <w:rtl/>
              </w:rPr>
              <w:t>;</w:t>
            </w:r>
          </w:p>
        </w:tc>
      </w:tr>
      <w:tr w:rsidRPr="00DF6726" w:rsidR="006E42C4" w:rsidTr="00D21730" w14:paraId="39E731C4" w14:textId="77777777">
        <w:trPr>
          <w:cantSplit/>
        </w:trPr>
        <w:tc>
          <w:tcPr>
            <w:tcW w:w="1871" w:type="dxa"/>
          </w:tcPr>
          <w:p w:rsidRPr="00DF6726" w:rsidR="006E42C4" w:rsidP="00F26368" w:rsidRDefault="006E42C4" w14:paraId="397BE0CB" w14:textId="77777777">
            <w:pPr>
              <w:pStyle w:val="TableSideHeading"/>
              <w:keepLines w:val="0"/>
            </w:pPr>
          </w:p>
        </w:tc>
        <w:tc>
          <w:tcPr>
            <w:tcW w:w="624" w:type="dxa"/>
          </w:tcPr>
          <w:p w:rsidRPr="00DF6726" w:rsidR="006E42C4" w:rsidP="00F26368" w:rsidRDefault="006E42C4" w14:paraId="606B97CC" w14:textId="77777777">
            <w:pPr>
              <w:pStyle w:val="TableText"/>
              <w:keepLines w:val="0"/>
            </w:pPr>
          </w:p>
        </w:tc>
        <w:tc>
          <w:tcPr>
            <w:tcW w:w="7143" w:type="dxa"/>
          </w:tcPr>
          <w:p w:rsidRPr="00DF6726" w:rsidR="006E42C4" w:rsidP="00D21730" w:rsidRDefault="006E42C4" w14:paraId="1AAB54F6" w14:textId="54C7BCDE">
            <w:pPr>
              <w:pStyle w:val="TableBlock"/>
              <w:tabs>
                <w:tab w:val="left" w:pos="624"/>
                <w:tab w:val="left" w:pos="1247"/>
              </w:tabs>
              <w:rPr>
                <w:rtl/>
              </w:rPr>
            </w:pPr>
            <w:r w:rsidRPr="00DF6726">
              <w:rPr>
                <w:rFonts w:hint="cs"/>
                <w:rtl/>
              </w:rPr>
              <w:t>(4)</w:t>
            </w:r>
            <w:r w:rsidRPr="00DF6726">
              <w:rPr>
                <w:rtl/>
              </w:rPr>
              <w:tab/>
            </w:r>
            <w:r w:rsidRPr="00DF6726">
              <w:rPr>
                <w:rFonts w:hint="cs"/>
                <w:rtl/>
              </w:rPr>
              <w:t xml:space="preserve">בפסקה (3), </w:t>
            </w:r>
            <w:r w:rsidRPr="00DF6726">
              <w:rPr>
                <w:rtl/>
              </w:rPr>
              <w:t xml:space="preserve"> </w:t>
            </w:r>
            <w:r w:rsidRPr="00DF6726">
              <w:rPr>
                <w:rFonts w:hint="cs"/>
                <w:rtl/>
              </w:rPr>
              <w:t xml:space="preserve">במקום "או משירות בתי הסוהר" יבוא "משירות בתי הסוהר </w:t>
            </w:r>
            <w:r w:rsidRPr="00DF6726">
              <w:rPr>
                <w:rtl/>
              </w:rPr>
              <w:t xml:space="preserve">או </w:t>
            </w:r>
            <w:r w:rsidRPr="00DF6726">
              <w:rPr>
                <w:rFonts w:hint="cs"/>
                <w:rtl/>
              </w:rPr>
              <w:t>מה</w:t>
            </w:r>
            <w:r w:rsidRPr="00DF6726">
              <w:rPr>
                <w:rtl/>
              </w:rPr>
              <w:t>רשות הארצית לכבאות והצלה"</w:t>
            </w:r>
            <w:r w:rsidR="00753554">
              <w:rPr>
                <w:rFonts w:hint="cs"/>
                <w:rtl/>
              </w:rPr>
              <w:t>.</w:t>
            </w:r>
          </w:p>
        </w:tc>
      </w:tr>
    </w:tbl>
    <w:p w:rsidR="002D1EE3" w:rsidP="002D1EE3" w:rsidRDefault="002D1EE3" w14:paraId="7F6961CA" w14:textId="77777777">
      <w:pPr>
        <w:pStyle w:val="HeadDivreiHesber"/>
        <w:rPr>
          <w:rtl/>
        </w:rPr>
      </w:pPr>
      <w:r w:rsidRPr="0027450A">
        <w:rPr>
          <w:rFonts w:hint="cs"/>
          <w:rtl/>
        </w:rPr>
        <w:t>דברי הסבר</w:t>
      </w:r>
    </w:p>
    <w:p w:rsidRPr="006E42C4" w:rsidR="006E42C4" w:rsidP="00753554" w:rsidRDefault="006E42C4" w14:paraId="62CFB9C1" w14:textId="0DA5713C">
      <w:pPr>
        <w:pStyle w:val="Hesber"/>
        <w:rPr>
          <w:rtl/>
        </w:rPr>
      </w:pPr>
      <w:r w:rsidRPr="006E42C4">
        <w:rPr>
          <w:rtl/>
        </w:rPr>
        <w:t>חוק פיצויי פיטורים, התשכ"ג</w:t>
      </w:r>
      <w:r w:rsidRPr="006E42C4">
        <w:rPr>
          <w:rFonts w:hint="cs"/>
          <w:rtl/>
        </w:rPr>
        <w:t>–</w:t>
      </w:r>
      <w:r w:rsidRPr="006E42C4">
        <w:rPr>
          <w:rtl/>
        </w:rPr>
        <w:t xml:space="preserve">1963 מזכה עובדים שפוטרו מעבודתם </w:t>
      </w:r>
      <w:r w:rsidRPr="006E42C4">
        <w:rPr>
          <w:rFonts w:hint="cs"/>
          <w:rtl/>
        </w:rPr>
        <w:t>ב</w:t>
      </w:r>
      <w:r w:rsidRPr="006E42C4">
        <w:rPr>
          <w:rtl/>
        </w:rPr>
        <w:t xml:space="preserve">פיצויי פיטורים. זכות זו מוענקת לא רק למפוטרים בעל כורחם אלא גם לעובדים שהתפטרו בנסיבות מיוחדות </w:t>
      </w:r>
      <w:r w:rsidRPr="006E42C4">
        <w:rPr>
          <w:rFonts w:hint="cs"/>
          <w:rtl/>
        </w:rPr>
        <w:t xml:space="preserve">שלגביהן מתקיים </w:t>
      </w:r>
      <w:r w:rsidRPr="006E42C4">
        <w:rPr>
          <w:rtl/>
        </w:rPr>
        <w:t xml:space="preserve">טעם ייחודי המצדיק סיום חוזה עבודה באופן המזכה את העובד המתפטר בפיצויי פיטורים. </w:t>
      </w:r>
    </w:p>
    <w:p w:rsidRPr="006E42C4" w:rsidR="006E42C4" w:rsidP="006E42C4" w:rsidRDefault="006E42C4" w14:paraId="56160212" w14:textId="77777777">
      <w:pPr>
        <w:pStyle w:val="Hesber"/>
        <w:rPr>
          <w:rtl/>
        </w:rPr>
      </w:pPr>
      <w:r w:rsidRPr="006E42C4">
        <w:rPr>
          <w:rtl/>
        </w:rPr>
        <w:t xml:space="preserve">בין הנסיבות המצדיקות הענקת פיצויי פיטורים למתפטר ניתן למצוא נסיבות שתכליתן </w:t>
      </w:r>
      <w:r w:rsidRPr="006E42C4">
        <w:rPr>
          <w:b/>
          <w:bCs/>
          <w:rtl/>
        </w:rPr>
        <w:t>אישית</w:t>
      </w:r>
      <w:r w:rsidRPr="006E42C4">
        <w:rPr>
          <w:rtl/>
        </w:rPr>
        <w:t>, כגון מצב בריאותי, פטירת עובד או מעסיק, התפטרות של הורה לטפל בילדו, התפטרות עקב שהייה במקלט לנשי</w:t>
      </w:r>
      <w:r w:rsidRPr="006E42C4">
        <w:rPr>
          <w:rFonts w:hint="cs"/>
          <w:rtl/>
        </w:rPr>
        <w:t>ם,</w:t>
      </w:r>
      <w:r w:rsidRPr="006E42C4">
        <w:rPr>
          <w:rtl/>
        </w:rPr>
        <w:t xml:space="preserve"> וכן נסיבות </w:t>
      </w:r>
      <w:r w:rsidRPr="006E42C4">
        <w:rPr>
          <w:rFonts w:hint="cs"/>
          <w:rtl/>
        </w:rPr>
        <w:t xml:space="preserve">שלהן </w:t>
      </w:r>
      <w:r w:rsidRPr="006E42C4">
        <w:rPr>
          <w:rtl/>
        </w:rPr>
        <w:t xml:space="preserve">תכלית </w:t>
      </w:r>
      <w:r w:rsidRPr="006E42C4">
        <w:rPr>
          <w:b/>
          <w:bCs/>
          <w:rtl/>
        </w:rPr>
        <w:t>ציבורית</w:t>
      </w:r>
      <w:r w:rsidRPr="006E42C4">
        <w:rPr>
          <w:rtl/>
        </w:rPr>
        <w:t xml:space="preserve"> מובהקת, כגון עידוד העתקת מגורים של העובד המתפטר לישוב פיתוח או ישוב חקלאי, עידוד גיוס לשירות סדיר בצה"ל</w:t>
      </w:r>
      <w:r w:rsidRPr="006E42C4">
        <w:rPr>
          <w:rFonts w:hint="cs"/>
          <w:rtl/>
        </w:rPr>
        <w:t xml:space="preserve"> ו</w:t>
      </w:r>
      <w:r w:rsidRPr="006E42C4">
        <w:rPr>
          <w:rtl/>
        </w:rPr>
        <w:t xml:space="preserve">עידוד גיוס למשטרת ישראל או לשירות בתי הסוהר.  </w:t>
      </w:r>
    </w:p>
    <w:p w:rsidRPr="006E42C4" w:rsidR="006E42C4" w:rsidP="006E42C4" w:rsidRDefault="006E42C4" w14:paraId="255A4807" w14:textId="2DD06B64">
      <w:pPr>
        <w:pStyle w:val="Hesber"/>
        <w:rPr>
          <w:rtl/>
        </w:rPr>
      </w:pPr>
      <w:r w:rsidRPr="006E42C4">
        <w:rPr>
          <w:rFonts w:hint="cs"/>
          <w:rtl/>
        </w:rPr>
        <w:t>תכלית ראויה מאין כמוה היא</w:t>
      </w:r>
      <w:r w:rsidRPr="006E42C4">
        <w:rPr>
          <w:rtl/>
        </w:rPr>
        <w:t xml:space="preserve"> קידום הגיוס לרשות הכבאות וההצלה, על ידי מתן הזכות לראות במי </w:t>
      </w:r>
      <w:r w:rsidRPr="006E42C4">
        <w:rPr>
          <w:rtl/>
        </w:rPr>
        <w:lastRenderedPageBreak/>
        <w:t xml:space="preserve">שהתפטר </w:t>
      </w:r>
      <w:r w:rsidR="00753554">
        <w:rPr>
          <w:rFonts w:hint="cs"/>
          <w:rtl/>
        </w:rPr>
        <w:t xml:space="preserve">לשם כך </w:t>
      </w:r>
      <w:r w:rsidRPr="006E42C4">
        <w:rPr>
          <w:rtl/>
        </w:rPr>
        <w:t xml:space="preserve">כזכאי לפיצויי פיטורים על אף שהתפטר. </w:t>
      </w:r>
    </w:p>
    <w:p w:rsidRPr="006E42C4" w:rsidR="006E42C4" w:rsidP="006E42C4" w:rsidRDefault="006E42C4" w14:paraId="138A0611" w14:textId="77777777">
      <w:pPr>
        <w:pStyle w:val="Hesber"/>
        <w:rPr>
          <w:rtl/>
        </w:rPr>
      </w:pPr>
      <w:r w:rsidRPr="006E42C4">
        <w:rPr>
          <w:rtl/>
        </w:rPr>
        <w:t>הקמת הרשות הארצית לכבאות והצלה הוצעה במסגרת וועדת גינוסר שעסקה בשירותי הכבאות. חוק הרשות הארצית לכבאות והצלה</w:t>
      </w:r>
      <w:r w:rsidRPr="006E42C4">
        <w:rPr>
          <w:rFonts w:hint="cs"/>
          <w:rtl/>
        </w:rPr>
        <w:t>, התשע"ב-2012 חוקק כמיזוג של הצעת חוק פרטית שהגיש חבר הכנסת דוד אזולאי ז"ל עם הצעת חוק ממשלתית</w:t>
      </w:r>
      <w:r w:rsidRPr="006E42C4">
        <w:rPr>
          <w:rtl/>
        </w:rPr>
        <w:t>. במסגרת חוק זה כונן גוף לאומי</w:t>
      </w:r>
      <w:r w:rsidRPr="006E42C4">
        <w:rPr>
          <w:rFonts w:hint="cs"/>
          <w:rtl/>
        </w:rPr>
        <w:t xml:space="preserve"> </w:t>
      </w:r>
      <w:r w:rsidRPr="006E42C4">
        <w:rPr>
          <w:rFonts w:hint="eastAsia"/>
          <w:rtl/>
        </w:rPr>
        <w:t>–</w:t>
      </w:r>
      <w:r w:rsidRPr="006E42C4">
        <w:rPr>
          <w:rtl/>
        </w:rPr>
        <w:t xml:space="preserve"> הרשות הארצית לכבאות והצלה</w:t>
      </w:r>
      <w:r w:rsidRPr="006E42C4">
        <w:rPr>
          <w:rFonts w:hint="cs"/>
          <w:rtl/>
        </w:rPr>
        <w:t>,</w:t>
      </w:r>
      <w:r w:rsidRPr="006E42C4">
        <w:rPr>
          <w:rtl/>
        </w:rPr>
        <w:t xml:space="preserve"> </w:t>
      </w:r>
      <w:r w:rsidRPr="006E42C4">
        <w:rPr>
          <w:rFonts w:hint="cs"/>
          <w:rtl/>
        </w:rPr>
        <w:t>ש</w:t>
      </w:r>
      <w:r w:rsidRPr="006E42C4">
        <w:rPr>
          <w:rtl/>
        </w:rPr>
        <w:t>הוכפפה לשר לביטחון הפנים</w:t>
      </w:r>
      <w:r w:rsidRPr="006E42C4">
        <w:rPr>
          <w:rFonts w:hint="cs"/>
          <w:rtl/>
        </w:rPr>
        <w:t xml:space="preserve">, וכך </w:t>
      </w:r>
      <w:r w:rsidRPr="006E42C4">
        <w:rPr>
          <w:rtl/>
        </w:rPr>
        <w:t xml:space="preserve">מאסופה של איגודי ערים וולונטריים בשלטון המקומי, </w:t>
      </w:r>
      <w:r w:rsidRPr="006E42C4">
        <w:rPr>
          <w:rFonts w:hint="cs"/>
          <w:rtl/>
        </w:rPr>
        <w:t xml:space="preserve">קמה לה </w:t>
      </w:r>
      <w:r w:rsidRPr="006E42C4">
        <w:rPr>
          <w:rtl/>
        </w:rPr>
        <w:t>רשות ארצית עם שרשרת פיקוד ויעדים לאומיים המוגדרים על ידי ממשלת ישראל.</w:t>
      </w:r>
    </w:p>
    <w:p w:rsidRPr="006E42C4" w:rsidR="006E42C4" w:rsidP="006E42C4" w:rsidRDefault="006E42C4" w14:paraId="311785A1" w14:textId="77777777">
      <w:pPr>
        <w:pStyle w:val="Hesber"/>
        <w:rPr>
          <w:rtl/>
        </w:rPr>
      </w:pPr>
      <w:r w:rsidRPr="006E42C4">
        <w:rPr>
          <w:rtl/>
        </w:rPr>
        <w:t xml:space="preserve">גם על נושא מעמד העובדים המועסקים ברשות </w:t>
      </w:r>
      <w:r w:rsidRPr="006E42C4">
        <w:rPr>
          <w:rFonts w:hint="cs"/>
          <w:rtl/>
        </w:rPr>
        <w:t xml:space="preserve">הארצית לכבאות והצלה </w:t>
      </w:r>
      <w:r w:rsidRPr="006E42C4">
        <w:rPr>
          <w:rtl/>
        </w:rPr>
        <w:t>לא פסח ח</w:t>
      </w:r>
      <w:r w:rsidRPr="006E42C4">
        <w:rPr>
          <w:rFonts w:hint="cs"/>
          <w:rtl/>
        </w:rPr>
        <w:t>בר הכנסת</w:t>
      </w:r>
      <w:r w:rsidRPr="006E42C4">
        <w:rPr>
          <w:rtl/>
        </w:rPr>
        <w:t xml:space="preserve"> </w:t>
      </w:r>
      <w:r w:rsidRPr="006E42C4">
        <w:rPr>
          <w:rFonts w:hint="cs"/>
          <w:rtl/>
        </w:rPr>
        <w:t xml:space="preserve">דוד </w:t>
      </w:r>
      <w:r w:rsidRPr="006E42C4">
        <w:rPr>
          <w:rtl/>
        </w:rPr>
        <w:t xml:space="preserve">אזולאי ז"ל, עת </w:t>
      </w:r>
      <w:r w:rsidRPr="006E42C4">
        <w:rPr>
          <w:rFonts w:hint="cs"/>
          <w:rtl/>
        </w:rPr>
        <w:t>שכנע את הוועדה</w:t>
      </w:r>
      <w:r w:rsidRPr="006E42C4">
        <w:rPr>
          <w:rtl/>
        </w:rPr>
        <w:t xml:space="preserve"> כי הוראות חוק "הסכמים קיבוציים" התשי"ז</w:t>
      </w:r>
      <w:r w:rsidRPr="006E42C4">
        <w:rPr>
          <w:rFonts w:hint="cs"/>
          <w:rtl/>
        </w:rPr>
        <w:t>–</w:t>
      </w:r>
      <w:r w:rsidRPr="006E42C4">
        <w:rPr>
          <w:rtl/>
        </w:rPr>
        <w:t xml:space="preserve">1957, יחולו </w:t>
      </w:r>
      <w:r w:rsidRPr="006E42C4">
        <w:rPr>
          <w:rFonts w:hint="cs"/>
          <w:rtl/>
        </w:rPr>
        <w:t>על עובדי הרשות.</w:t>
      </w:r>
      <w:r w:rsidRPr="006E42C4">
        <w:rPr>
          <w:rtl/>
        </w:rPr>
        <w:t xml:space="preserve"> </w:t>
      </w:r>
    </w:p>
    <w:p w:rsidRPr="006E42C4" w:rsidR="006E42C4" w:rsidP="006E42C4" w:rsidRDefault="006E42C4" w14:paraId="6E6E47F4" w14:textId="77777777">
      <w:pPr>
        <w:pStyle w:val="Hesber"/>
        <w:rPr>
          <w:rtl/>
        </w:rPr>
      </w:pPr>
      <w:r w:rsidRPr="006E42C4">
        <w:rPr>
          <w:rFonts w:hint="cs"/>
          <w:rtl/>
        </w:rPr>
        <w:t>מתוך ראיית חשיבותה של הרשות והוקרת תפקידם של עובדיה, מבקשת הצעת החוק</w:t>
      </w:r>
      <w:r w:rsidRPr="006E42C4">
        <w:rPr>
          <w:rtl/>
        </w:rPr>
        <w:t xml:space="preserve"> לסייע </w:t>
      </w:r>
      <w:r w:rsidRPr="006E42C4">
        <w:rPr>
          <w:rFonts w:hint="cs"/>
          <w:rtl/>
        </w:rPr>
        <w:t>בהעלאת</w:t>
      </w:r>
      <w:r w:rsidRPr="006E42C4">
        <w:rPr>
          <w:rtl/>
        </w:rPr>
        <w:t xml:space="preserve"> מעמדם של המתגייסים לעבודה כלוחמי אש ברשות הארצית לכבאות והצלה, למעמד זהה לזה של </w:t>
      </w:r>
      <w:r w:rsidRPr="006E42C4">
        <w:rPr>
          <w:rFonts w:hint="cs"/>
          <w:rtl/>
        </w:rPr>
        <w:t>מי ש</w:t>
      </w:r>
      <w:r w:rsidRPr="006E42C4">
        <w:rPr>
          <w:rtl/>
        </w:rPr>
        <w:t>מתגייסים לשירותים ביטחוניים לאומיים</w:t>
      </w:r>
      <w:r w:rsidRPr="006E42C4">
        <w:rPr>
          <w:rFonts w:hint="cs"/>
          <w:rtl/>
        </w:rPr>
        <w:t xml:space="preserve"> אחרים לעניין הזכאות לפיצויי פיטורים. </w:t>
      </w:r>
      <w:r w:rsidRPr="006E42C4">
        <w:rPr>
          <w:rtl/>
        </w:rPr>
        <w:t>כך, לא רק מי שמתפטר על מנת להתגייס לצה"ל, למשטרת ישראל או לשב"ס, אלא אף מי שיתפטרו על מנת להתגייס לרשות הארצית לכב</w:t>
      </w:r>
      <w:r w:rsidRPr="006E42C4">
        <w:rPr>
          <w:rFonts w:hint="cs"/>
          <w:rtl/>
        </w:rPr>
        <w:t>א</w:t>
      </w:r>
      <w:r w:rsidRPr="006E42C4">
        <w:rPr>
          <w:rtl/>
        </w:rPr>
        <w:t>ות והצלה</w:t>
      </w:r>
      <w:r w:rsidRPr="006E42C4">
        <w:rPr>
          <w:rFonts w:hint="cs"/>
          <w:rtl/>
        </w:rPr>
        <w:t xml:space="preserve">, </w:t>
      </w:r>
      <w:r w:rsidRPr="006E42C4">
        <w:rPr>
          <w:rtl/>
        </w:rPr>
        <w:t xml:space="preserve">יהיו זכאים למעמד של מתפטר בדין מפוטר. </w:t>
      </w:r>
    </w:p>
    <w:p w:rsidR="006E42C4" w:rsidP="00753554" w:rsidRDefault="006E42C4" w14:paraId="5757E226" w14:textId="00184A45">
      <w:pPr>
        <w:pStyle w:val="Hesber"/>
        <w:rPr>
          <w:rtl/>
        </w:rPr>
      </w:pPr>
      <w:r w:rsidRPr="006E42C4">
        <w:rPr>
          <w:rFonts w:hint="cs"/>
          <w:rtl/>
        </w:rPr>
        <w:t>הצע</w:t>
      </w:r>
      <w:r w:rsidR="00753554">
        <w:rPr>
          <w:rFonts w:hint="cs"/>
          <w:rtl/>
        </w:rPr>
        <w:t>ו</w:t>
      </w:r>
      <w:r w:rsidRPr="006E42C4">
        <w:rPr>
          <w:rFonts w:hint="cs"/>
          <w:rtl/>
        </w:rPr>
        <w:t>ת חוק זה</w:t>
      </w:r>
      <w:r w:rsidR="00753554">
        <w:rPr>
          <w:rFonts w:hint="cs"/>
          <w:rtl/>
        </w:rPr>
        <w:t>ות</w:t>
      </w:r>
      <w:r w:rsidRPr="006E42C4">
        <w:rPr>
          <w:rFonts w:hint="cs"/>
          <w:rtl/>
        </w:rPr>
        <w:t xml:space="preserve"> הונח</w:t>
      </w:r>
      <w:r w:rsidR="00753554">
        <w:rPr>
          <w:rFonts w:hint="cs"/>
          <w:rtl/>
        </w:rPr>
        <w:t>ו</w:t>
      </w:r>
      <w:r w:rsidRPr="006E42C4">
        <w:rPr>
          <w:rFonts w:hint="cs"/>
          <w:rtl/>
        </w:rPr>
        <w:t xml:space="preserve"> על שולחן הכנסת העשרים ושלוש על ידי חבר הכנסת ינון אזולאי וקבוצת חברי הכנסת (פ/1783/23)</w:t>
      </w:r>
      <w:r w:rsidR="00753554">
        <w:rPr>
          <w:rFonts w:hint="cs"/>
          <w:rtl/>
        </w:rPr>
        <w:t xml:space="preserve">, ועל </w:t>
      </w:r>
      <w:r w:rsidRPr="006E42C4">
        <w:rPr>
          <w:rFonts w:hint="cs"/>
          <w:rtl/>
        </w:rPr>
        <w:t>שולחן הכנסת העשרים ו</w:t>
      </w:r>
      <w:r>
        <w:rPr>
          <w:rFonts w:hint="cs"/>
          <w:rtl/>
        </w:rPr>
        <w:t>ארבע</w:t>
      </w:r>
      <w:r w:rsidRPr="006E42C4">
        <w:rPr>
          <w:rFonts w:hint="cs"/>
          <w:rtl/>
        </w:rPr>
        <w:t xml:space="preserve"> על ידי חבר</w:t>
      </w:r>
      <w:r>
        <w:rPr>
          <w:rFonts w:hint="cs"/>
          <w:rtl/>
        </w:rPr>
        <w:t>י</w:t>
      </w:r>
      <w:r w:rsidRPr="006E42C4">
        <w:rPr>
          <w:rFonts w:hint="cs"/>
          <w:rtl/>
        </w:rPr>
        <w:t xml:space="preserve"> הכנסת ינון אזולאי</w:t>
      </w:r>
      <w:r>
        <w:rPr>
          <w:rFonts w:hint="cs"/>
          <w:rtl/>
        </w:rPr>
        <w:t xml:space="preserve"> ומשה ארבל</w:t>
      </w:r>
      <w:r w:rsidRPr="006E42C4">
        <w:rPr>
          <w:rFonts w:hint="cs"/>
          <w:rtl/>
        </w:rPr>
        <w:t xml:space="preserve"> (פ/785/24).</w:t>
      </w:r>
    </w:p>
    <w:p w:rsidR="00753554" w:rsidP="00753554" w:rsidRDefault="00753554" w14:paraId="3EE5E0C7" w14:textId="40D330E8">
      <w:pPr>
        <w:pStyle w:val="Hesber"/>
        <w:rPr>
          <w:rtl/>
        </w:rPr>
      </w:pPr>
      <w:r>
        <w:rPr>
          <w:rFonts w:hint="cs"/>
          <w:rtl/>
        </w:rPr>
        <w:t>הצעת החוק זהה לפ/785/24 ולפיכך לא נבדקה מחדש על ידי הלשכה המשפטית של הכנסת.</w:t>
      </w:r>
    </w:p>
    <w:p w:rsidRPr="006E42C4" w:rsidR="00D21730" w:rsidP="00753554" w:rsidRDefault="00D21730" w14:paraId="010803A2" w14:textId="77777777">
      <w:pPr>
        <w:pStyle w:val="Hesber"/>
        <w:rPr>
          <w:rtl/>
        </w:rPr>
      </w:pPr>
      <w:bookmarkStart w:name="_GoBack" w:id="8"/>
      <w:bookmarkEnd w:id="8"/>
    </w:p>
    <w:p w:rsidR="00E13C27" w:rsidP="00E13C27" w:rsidRDefault="00E13C27" w14:paraId="7F6961CB" w14:textId="77777777">
      <w:pPr>
        <w:pStyle w:val="Hesber"/>
        <w:rPr>
          <w:rtl/>
        </w:rPr>
      </w:pPr>
    </w:p>
    <w:p>
      <w:pPr>
        <w:jc w:val="left"/>
        <w:spacing w:before="0" w:after="0" w:line="276" w:lineRule="auto"/>
      </w:pPr>
      <w:bookmarkStart w:name="selectedDocDateB" w:id="9"/>
      <w:bookmarkEnd w:id="9"/>
      <w:r/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>--------------------------------</w:t>
        </w:r>
      </w:p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>הוגשה ליו"ר הכנסת והסגנים</w:t>
        </w:r>
      </w:p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>והונחה על שולחן הכנסת ביום</w:t>
        </w:r>
      </w:p>
      <w:p>
        <w:pPr>
          <w:jc w:val="left"/>
          <w:spacing w:before="0" w:after="0" w:line="360" w:lineRule="auto"/>
        </w:pPr>
        <w:r>
          <w:rPr>
            <w:rtl/>
            <w:rFonts w:hint="cs" w:ascii="David" w:hAnsi="David" w:eastAsia="David" w:cs="David"/>
            <w:sz w:val="26"/>
            <w:szCs w:val="26"/>
          </w:rPr>
          <w:t xml:space="preserve">כ"ה בכסלו התשפ"ג</w:t>
          <w:t xml:space="preserve"> (19.12.2022) </w:t>
        </w:r>
      </w:p>
    </w:p>
    <w:sectPr w:rsidR="00E13C27" w:rsidSect="00D21730">
      <w:footerReference w:type="even" r:id="rId11"/>
      <w:footerReference w:type="default" r:id="rId12"/>
      <w:pgSz w:w="11907" w:h="16840" w:code="9"/>
      <w:pgMar w:top="1701" w:right="1134" w:bottom="1417" w:left="1134" w:header="680" w:footer="680" w:gutter="0"/>
      <w:cols w:space="720"/>
      <w:noEndnote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961D5" w14:textId="77777777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7F6961D6" w14:textId="77777777" w:rsidR="002C3041" w:rsidRDefault="002C304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961D7" w14:textId="34CF833B" w:rsidR="002C3041" w:rsidRDefault="002C3041" w:rsidP="001207F8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D21730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7F6961D8" w14:textId="77777777" w:rsidR="002C3041" w:rsidRDefault="002C304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8674C0" w14:textId="77777777" w:rsidR="00D142D3" w:rsidRDefault="00D142D3" w:rsidP="00D21730">
      <w:pPr>
        <w:ind w:left="0"/>
      </w:pPr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756D0238" w14:textId="77777777" w:rsidR="006E42C4" w:rsidRDefault="006E42C4" w:rsidP="006E42C4">
      <w:pPr>
        <w:pStyle w:val="a4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ס"ח התשכ"ג, עמ' 136.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49435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A2EB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E00D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D24B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91685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CA2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EA33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8CFF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38A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B852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972A86"/>
    <w:multiLevelType w:val="hybridMultilevel"/>
    <w:tmpl w:val="0D5028AE"/>
    <w:lvl w:ilvl="0" w:tplc="FB92B18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A2B35"/>
    <w:multiLevelType w:val="hybridMultilevel"/>
    <w:tmpl w:val="F61ADD04"/>
    <w:lvl w:ilvl="0" w:tplc="EFC26F30">
      <w:start w:val="1"/>
      <w:numFmt w:val="hebrew1"/>
      <w:pStyle w:val="4"/>
      <w:suff w:val="space"/>
      <w:lvlText w:val="%1."/>
      <w:lvlJc w:val="left"/>
      <w:pPr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3B28B0"/>
    <w:multiLevelType w:val="hybridMultilevel"/>
    <w:tmpl w:val="41ACEA96"/>
    <w:lvl w:ilvl="0" w:tplc="06A8C010">
      <w:start w:val="1"/>
      <w:numFmt w:val="decimal"/>
      <w:pStyle w:val="TOC3"/>
      <w:lvlText w:val="%1."/>
      <w:lvlJc w:val="left"/>
      <w:pPr>
        <w:ind w:left="1287" w:hanging="360"/>
      </w:pPr>
      <w:rPr>
        <w:rFonts w:cs="David"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53C544D"/>
    <w:multiLevelType w:val="hybridMultilevel"/>
    <w:tmpl w:val="C7443990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1"/>
  </w:num>
  <w:num w:numId="14">
    <w:abstractNumId w:val="16"/>
  </w:num>
  <w:num w:numId="15">
    <w:abstractNumId w:val="13"/>
  </w:num>
  <w:num w:numId="16">
    <w:abstractNumId w:val="13"/>
    <w:lvlOverride w:ilvl="0">
      <w:startOverride w:val="1"/>
    </w:lvlOverride>
  </w:num>
  <w:num w:numId="17">
    <w:abstractNumId w:val="1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53C9D"/>
    <w:rsid w:val="00562A66"/>
    <w:rsid w:val="005B064E"/>
    <w:rsid w:val="005D51AE"/>
    <w:rsid w:val="0062674B"/>
    <w:rsid w:val="006363B2"/>
    <w:rsid w:val="00644940"/>
    <w:rsid w:val="006818A9"/>
    <w:rsid w:val="006A2D81"/>
    <w:rsid w:val="006C1D0D"/>
    <w:rsid w:val="006E42C4"/>
    <w:rsid w:val="0070601E"/>
    <w:rsid w:val="00712C72"/>
    <w:rsid w:val="00735FE9"/>
    <w:rsid w:val="00753554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D92"/>
    <w:rsid w:val="0083181D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733A7"/>
    <w:rsid w:val="00B75C91"/>
    <w:rsid w:val="00B975AD"/>
    <w:rsid w:val="00BC45FB"/>
    <w:rsid w:val="00BF148D"/>
    <w:rsid w:val="00C23B1A"/>
    <w:rsid w:val="00C310EB"/>
    <w:rsid w:val="00C9176A"/>
    <w:rsid w:val="00CF1AA2"/>
    <w:rsid w:val="00D142D3"/>
    <w:rsid w:val="00D17774"/>
    <w:rsid w:val="00D21730"/>
    <w:rsid w:val="00D63620"/>
    <w:rsid w:val="00D8410D"/>
    <w:rsid w:val="00D867D7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35298E56-5487-4B9B-9928-566AB38A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730"/>
    <w:pPr>
      <w:widowControl w:val="0"/>
      <w:bidi/>
      <w:spacing w:line="360" w:lineRule="auto"/>
      <w:ind w:left="340"/>
      <w:contextualSpacing/>
      <w:jc w:val="both"/>
    </w:pPr>
    <w:rPr>
      <w:rFonts w:ascii="David" w:eastAsiaTheme="minorHAnsi" w:hAnsi="David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21730"/>
    <w:pPr>
      <w:keepNext/>
      <w:keepLines/>
      <w:spacing w:before="240"/>
      <w:jc w:val="center"/>
      <w:outlineLvl w:val="0"/>
    </w:pPr>
    <w:rPr>
      <w:rFonts w:asciiTheme="majorHAnsi" w:eastAsiaTheme="majorEastAsia" w:hAnsiTheme="majorHAnsi"/>
      <w:bCs/>
      <w:sz w:val="32"/>
      <w:szCs w:val="36"/>
    </w:rPr>
  </w:style>
  <w:style w:type="paragraph" w:styleId="2">
    <w:name w:val="heading 2"/>
    <w:basedOn w:val="a"/>
    <w:next w:val="a"/>
    <w:link w:val="20"/>
    <w:unhideWhenUsed/>
    <w:qFormat/>
    <w:rsid w:val="00D21730"/>
    <w:pPr>
      <w:ind w:left="0"/>
      <w:jc w:val="left"/>
      <w:outlineLvl w:val="1"/>
    </w:pPr>
    <w:rPr>
      <w:rFonts w:asciiTheme="majorHAnsi" w:eastAsiaTheme="majorEastAsia" w:hAnsiTheme="majorHAnsi"/>
      <w:bCs/>
      <w:sz w:val="26"/>
      <w:szCs w:val="36"/>
      <w:u w:val="single"/>
    </w:rPr>
  </w:style>
  <w:style w:type="paragraph" w:styleId="3">
    <w:name w:val="heading 3"/>
    <w:basedOn w:val="a"/>
    <w:next w:val="a"/>
    <w:link w:val="30"/>
    <w:unhideWhenUsed/>
    <w:qFormat/>
    <w:rsid w:val="00D21730"/>
    <w:pPr>
      <w:spacing w:before="40"/>
      <w:ind w:left="0"/>
      <w:jc w:val="left"/>
      <w:outlineLvl w:val="2"/>
    </w:pPr>
    <w:rPr>
      <w:rFonts w:asciiTheme="majorHAnsi" w:eastAsiaTheme="majorEastAsia" w:hAnsiTheme="majorHAnsi"/>
      <w:szCs w:val="28"/>
      <w:u w:val="double"/>
    </w:rPr>
  </w:style>
  <w:style w:type="paragraph" w:styleId="4">
    <w:name w:val="heading 4"/>
    <w:basedOn w:val="a"/>
    <w:next w:val="a"/>
    <w:link w:val="40"/>
    <w:uiPriority w:val="9"/>
    <w:unhideWhenUsed/>
    <w:qFormat/>
    <w:rsid w:val="00D21730"/>
    <w:pPr>
      <w:numPr>
        <w:numId w:val="18"/>
      </w:numPr>
      <w:spacing w:before="40" w:after="120"/>
      <w:outlineLvl w:val="3"/>
    </w:pPr>
    <w:rPr>
      <w:b/>
      <w:bCs/>
      <w:color w:val="000000" w:themeColor="text1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21730"/>
    <w:pPr>
      <w:spacing w:line="259" w:lineRule="auto"/>
      <w:outlineLvl w:val="4"/>
    </w:pPr>
    <w:rPr>
      <w:color w:val="000000" w:themeColor="text1"/>
    </w:rPr>
  </w:style>
  <w:style w:type="character" w:default="1" w:styleId="a0">
    <w:name w:val="Default Paragraph Font"/>
    <w:uiPriority w:val="1"/>
    <w:semiHidden/>
    <w:unhideWhenUsed/>
    <w:rsid w:val="00D21730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D21730"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D21730"/>
    <w:pPr>
      <w:tabs>
        <w:tab w:val="left" w:pos="1191"/>
        <w:tab w:val="left" w:pos="1587"/>
      </w:tabs>
      <w:snapToGrid w:val="0"/>
      <w:spacing w:before="240" w:after="240" w:line="480" w:lineRule="auto"/>
      <w:jc w:val="center"/>
    </w:pPr>
    <w:rPr>
      <w:rFonts w:ascii="Arial" w:eastAsia="Arial Unicode MS" w:hAnsi="Arial"/>
      <w:snapToGrid w:val="0"/>
      <w:sz w:val="20"/>
      <w:szCs w:val="26"/>
    </w:rPr>
  </w:style>
  <w:style w:type="paragraph" w:customStyle="1" w:styleId="Cover2-HatzaotHok">
    <w:name w:val="Cover 2-HatzaotHok"/>
    <w:basedOn w:val="Cover1-Reshumot"/>
    <w:rsid w:val="00D21730"/>
    <w:rPr>
      <w:sz w:val="36"/>
      <w:szCs w:val="52"/>
    </w:rPr>
  </w:style>
  <w:style w:type="paragraph" w:customStyle="1" w:styleId="Cover3-Haknesset">
    <w:name w:val="Cover 3-Haknesset"/>
    <w:basedOn w:val="Cover1-Reshumot"/>
    <w:rsid w:val="00D21730"/>
    <w:rPr>
      <w:b/>
      <w:bCs/>
      <w:spacing w:val="60"/>
    </w:rPr>
  </w:style>
  <w:style w:type="paragraph" w:customStyle="1" w:styleId="Cover4-Date">
    <w:name w:val="Cover 4-Date"/>
    <w:basedOn w:val="a"/>
    <w:rsid w:val="00D21730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D21730"/>
    <w:pPr>
      <w:keepNext/>
      <w:keepLines/>
      <w:pageBreakBefore/>
      <w:snapToGrid w:val="0"/>
      <w:spacing w:before="48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">
    <w:name w:val="Head HatzaotHok"/>
    <w:basedOn w:val="a"/>
    <w:rsid w:val="00D21730"/>
    <w:pPr>
      <w:keepNext/>
      <w:keepLines/>
      <w:snapToGrid w:val="0"/>
      <w:spacing w:before="240"/>
      <w:jc w:val="center"/>
      <w:outlineLvl w:val="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4Futer">
    <w:name w:val="Head HatzaotHok4Futer"/>
    <w:basedOn w:val="HeadHatzaotHok"/>
    <w:rsid w:val="00D21730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D21730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D21730"/>
    <w:pPr>
      <w:keepLines/>
      <w:tabs>
        <w:tab w:val="left" w:pos="624"/>
        <w:tab w:val="left" w:pos="1247"/>
      </w:tabs>
      <w:snapToGrid w:val="0"/>
      <w:ind w:left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ableSideHeading">
    <w:name w:val="Table SideHeading"/>
    <w:basedOn w:val="TableText"/>
    <w:rsid w:val="00D21730"/>
    <w:pPr>
      <w:outlineLvl w:val="2"/>
    </w:pPr>
  </w:style>
  <w:style w:type="paragraph" w:customStyle="1" w:styleId="TableBlock">
    <w:name w:val="Table Block"/>
    <w:basedOn w:val="TableText"/>
    <w:rsid w:val="00D21730"/>
    <w:pPr>
      <w:jc w:val="both"/>
    </w:pPr>
  </w:style>
  <w:style w:type="paragraph" w:customStyle="1" w:styleId="TableHead">
    <w:name w:val="Table Head"/>
    <w:basedOn w:val="TableText"/>
    <w:rsid w:val="00D21730"/>
    <w:pPr>
      <w:jc w:val="center"/>
      <w:outlineLvl w:val="1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D21730"/>
    <w:pPr>
      <w:outlineLvl w:val="9"/>
    </w:pPr>
  </w:style>
  <w:style w:type="paragraph" w:customStyle="1" w:styleId="Hesber">
    <w:name w:val="Hesber"/>
    <w:basedOn w:val="a"/>
    <w:rsid w:val="00D21730"/>
    <w:pPr>
      <w:snapToGrid w:val="0"/>
      <w:ind w:left="0" w:firstLine="340"/>
    </w:pPr>
    <w:rPr>
      <w:rFonts w:ascii="Arial" w:eastAsia="Arial Unicode MS" w:hAnsi="Arial"/>
      <w:snapToGrid w:val="0"/>
      <w:sz w:val="20"/>
      <w:szCs w:val="26"/>
    </w:rPr>
  </w:style>
  <w:style w:type="paragraph" w:styleId="a4">
    <w:name w:val="footnote text"/>
    <w:basedOn w:val="a"/>
    <w:autoRedefine/>
    <w:semiHidden/>
    <w:rsid w:val="00D21730"/>
    <w:pPr>
      <w:snapToGrid w:val="0"/>
      <w:spacing w:line="240" w:lineRule="auto"/>
      <w:ind w:left="0"/>
      <w:jc w:val="left"/>
    </w:pPr>
    <w:rPr>
      <w:rFonts w:ascii="Arial" w:eastAsia="Arial Unicode MS" w:hAnsi="Arial"/>
      <w:snapToGrid w:val="0"/>
      <w:sz w:val="14"/>
      <w:szCs w:val="20"/>
    </w:rPr>
  </w:style>
  <w:style w:type="character" w:styleId="a5">
    <w:name w:val="footnote reference"/>
    <w:aliases w:val="Footnote Reference"/>
    <w:basedOn w:val="a0"/>
    <w:semiHidden/>
    <w:rsid w:val="00D21730"/>
    <w:rPr>
      <w:vertAlign w:val="superscript"/>
    </w:rPr>
  </w:style>
  <w:style w:type="paragraph" w:customStyle="1" w:styleId="HesberHeading">
    <w:name w:val="Hesber Heading"/>
    <w:basedOn w:val="Hesber"/>
    <w:rsid w:val="00D21730"/>
    <w:pPr>
      <w:tabs>
        <w:tab w:val="left" w:pos="624"/>
        <w:tab w:val="left" w:pos="1247"/>
      </w:tabs>
    </w:pPr>
    <w:rPr>
      <w:b/>
      <w:bCs/>
    </w:rPr>
  </w:style>
  <w:style w:type="paragraph" w:customStyle="1" w:styleId="HesberWriters">
    <w:name w:val="Hesber Writers"/>
    <w:basedOn w:val="Hesber"/>
    <w:rsid w:val="00D21730"/>
    <w:pPr>
      <w:spacing w:before="120" w:after="120"/>
      <w:ind w:left="1418"/>
      <w:jc w:val="right"/>
    </w:pPr>
    <w:rPr>
      <w:b/>
      <w:bCs/>
    </w:rPr>
  </w:style>
  <w:style w:type="paragraph" w:customStyle="1" w:styleId="Hesber1st">
    <w:name w:val="Hesber 1st"/>
    <w:basedOn w:val="Hesber"/>
    <w:rsid w:val="00D21730"/>
    <w:pPr>
      <w:tabs>
        <w:tab w:val="left" w:pos="680"/>
        <w:tab w:val="left" w:pos="1020"/>
      </w:tabs>
      <w:ind w:firstLine="0"/>
    </w:pPr>
  </w:style>
  <w:style w:type="character" w:styleId="a6">
    <w:name w:val="endnote reference"/>
    <w:basedOn w:val="a0"/>
    <w:semiHidden/>
    <w:rsid w:val="00D21730"/>
    <w:rPr>
      <w:vertAlign w:val="superscript"/>
    </w:rPr>
  </w:style>
  <w:style w:type="paragraph" w:customStyle="1" w:styleId="TableBlockOutdent">
    <w:name w:val="Table BlockOutdent"/>
    <w:basedOn w:val="TableBlock"/>
    <w:rsid w:val="00D21730"/>
    <w:pPr>
      <w:ind w:left="624" w:hanging="624"/>
    </w:pPr>
  </w:style>
  <w:style w:type="paragraph" w:styleId="a7">
    <w:name w:val="header"/>
    <w:basedOn w:val="a"/>
    <w:rsid w:val="00D21730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D21730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D21730"/>
    <w:pPr>
      <w:snapToGrid w:val="0"/>
      <w:spacing w:before="360" w:after="120"/>
      <w:jc w:val="center"/>
      <w:outlineLvl w:val="1"/>
    </w:pPr>
    <w:rPr>
      <w:rFonts w:ascii="Arial" w:eastAsia="Arial Unicode MS" w:hAnsi="Arial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D21730"/>
    <w:pPr>
      <w:snapToGrid w:val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styleId="a9">
    <w:name w:val="Title"/>
    <w:basedOn w:val="a"/>
    <w:qFormat/>
    <w:rsid w:val="00943386"/>
    <w:pPr>
      <w:jc w:val="center"/>
    </w:pPr>
    <w:rPr>
      <w:b/>
      <w:bCs/>
      <w:sz w:val="28"/>
      <w:szCs w:val="28"/>
      <w:u w:val="single"/>
    </w:rPr>
  </w:style>
  <w:style w:type="character" w:styleId="aa">
    <w:name w:val="page number"/>
    <w:basedOn w:val="a0"/>
    <w:rsid w:val="00D21730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jc w:val="left"/>
    </w:pPr>
    <w:rPr>
      <w:sz w:val="26"/>
      <w:szCs w:val="26"/>
    </w:rPr>
  </w:style>
  <w:style w:type="paragraph" w:styleId="ab">
    <w:name w:val="Balloon Text"/>
    <w:basedOn w:val="a"/>
    <w:link w:val="ac"/>
    <w:semiHidden/>
    <w:unhideWhenUsed/>
    <w:rsid w:val="00325C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  <w:style w:type="character" w:customStyle="1" w:styleId="10">
    <w:name w:val="כותרת 1 תו"/>
    <w:basedOn w:val="a0"/>
    <w:link w:val="1"/>
    <w:uiPriority w:val="9"/>
    <w:rsid w:val="00D21730"/>
    <w:rPr>
      <w:rFonts w:asciiTheme="majorHAnsi" w:eastAsiaTheme="majorEastAsia" w:hAnsiTheme="majorHAnsi" w:cs="David"/>
      <w:bCs/>
      <w:sz w:val="32"/>
      <w:szCs w:val="36"/>
    </w:rPr>
  </w:style>
  <w:style w:type="character" w:customStyle="1" w:styleId="20">
    <w:name w:val="כותרת 2 תו"/>
    <w:basedOn w:val="a0"/>
    <w:link w:val="2"/>
    <w:rsid w:val="00D21730"/>
    <w:rPr>
      <w:rFonts w:asciiTheme="majorHAnsi" w:eastAsiaTheme="majorEastAsia" w:hAnsiTheme="majorHAnsi" w:cs="David"/>
      <w:bCs/>
      <w:sz w:val="26"/>
      <w:szCs w:val="36"/>
      <w:u w:val="single"/>
    </w:rPr>
  </w:style>
  <w:style w:type="character" w:customStyle="1" w:styleId="30">
    <w:name w:val="כותרת 3 תו"/>
    <w:basedOn w:val="a0"/>
    <w:link w:val="3"/>
    <w:rsid w:val="00D21730"/>
    <w:rPr>
      <w:rFonts w:asciiTheme="majorHAnsi" w:eastAsiaTheme="majorEastAsia" w:hAnsiTheme="majorHAnsi" w:cs="David"/>
      <w:sz w:val="24"/>
      <w:szCs w:val="28"/>
      <w:u w:val="double"/>
    </w:rPr>
  </w:style>
  <w:style w:type="character" w:customStyle="1" w:styleId="40">
    <w:name w:val="כותרת 4 תו"/>
    <w:basedOn w:val="a0"/>
    <w:link w:val="4"/>
    <w:uiPriority w:val="9"/>
    <w:rsid w:val="00D21730"/>
    <w:rPr>
      <w:rFonts w:ascii="David" w:eastAsiaTheme="minorHAnsi" w:hAnsi="David" w:cs="David"/>
      <w:b/>
      <w:bCs/>
      <w:color w:val="000000" w:themeColor="text1"/>
      <w:sz w:val="24"/>
      <w:szCs w:val="28"/>
    </w:rPr>
  </w:style>
  <w:style w:type="character" w:customStyle="1" w:styleId="50">
    <w:name w:val="כותרת 5 תו"/>
    <w:basedOn w:val="a0"/>
    <w:link w:val="5"/>
    <w:uiPriority w:val="9"/>
    <w:rsid w:val="00D21730"/>
    <w:rPr>
      <w:rFonts w:ascii="David" w:eastAsiaTheme="minorHAnsi" w:hAnsi="David" w:cs="David"/>
      <w:color w:val="000000" w:themeColor="text1"/>
      <w:sz w:val="24"/>
      <w:szCs w:val="24"/>
    </w:rPr>
  </w:style>
  <w:style w:type="paragraph" w:styleId="ad">
    <w:name w:val="TOC Heading"/>
    <w:basedOn w:val="1"/>
    <w:next w:val="a"/>
    <w:uiPriority w:val="39"/>
    <w:unhideWhenUsed/>
    <w:qFormat/>
    <w:rsid w:val="00D21730"/>
    <w:pPr>
      <w:widowControl/>
      <w:spacing w:before="120" w:after="120"/>
      <w:outlineLvl w:val="9"/>
    </w:pPr>
    <w:rPr>
      <w:rtl/>
      <w:cs/>
    </w:rPr>
  </w:style>
  <w:style w:type="paragraph" w:styleId="TOC1">
    <w:name w:val="toc 1"/>
    <w:basedOn w:val="a"/>
    <w:next w:val="a"/>
    <w:autoRedefine/>
    <w:uiPriority w:val="39"/>
    <w:unhideWhenUsed/>
    <w:rsid w:val="00D21730"/>
    <w:pPr>
      <w:tabs>
        <w:tab w:val="right" w:leader="dot" w:pos="9629"/>
      </w:tabs>
      <w:spacing w:after="100"/>
    </w:pPr>
    <w:rPr>
      <w:bCs/>
      <w:szCs w:val="22"/>
    </w:rPr>
  </w:style>
  <w:style w:type="paragraph" w:styleId="TOC2">
    <w:name w:val="toc 2"/>
    <w:basedOn w:val="a"/>
    <w:next w:val="a"/>
    <w:uiPriority w:val="39"/>
    <w:unhideWhenUsed/>
    <w:rsid w:val="00D21730"/>
    <w:pPr>
      <w:tabs>
        <w:tab w:val="right" w:leader="dot" w:pos="9628"/>
      </w:tabs>
      <w:spacing w:after="100"/>
    </w:pPr>
    <w:rPr>
      <w:szCs w:val="22"/>
    </w:rPr>
  </w:style>
  <w:style w:type="character" w:styleId="Hyperlink">
    <w:name w:val="Hyperlink"/>
    <w:basedOn w:val="a0"/>
    <w:uiPriority w:val="99"/>
    <w:unhideWhenUsed/>
    <w:rsid w:val="00D21730"/>
    <w:rPr>
      <w:color w:val="0000FF" w:themeColor="hyperlink"/>
      <w:u w:val="single"/>
    </w:rPr>
  </w:style>
  <w:style w:type="paragraph" w:styleId="TOC3">
    <w:name w:val="toc 3"/>
    <w:basedOn w:val="a"/>
    <w:next w:val="a"/>
    <w:uiPriority w:val="39"/>
    <w:unhideWhenUsed/>
    <w:rsid w:val="00D21730"/>
    <w:pPr>
      <w:numPr>
        <w:numId w:val="21"/>
      </w:numPr>
      <w:tabs>
        <w:tab w:val="right" w:leader="dot" w:pos="9629"/>
      </w:tabs>
      <w:spacing w:after="100"/>
      <w:ind w:left="811" w:hanging="357"/>
    </w:pPr>
    <w:rPr>
      <w:szCs w:val="22"/>
    </w:rPr>
  </w:style>
  <w:style w:type="paragraph" w:styleId="TOC4">
    <w:name w:val="toc 4"/>
    <w:basedOn w:val="a"/>
    <w:next w:val="a"/>
    <w:autoRedefine/>
    <w:unhideWhenUsed/>
    <w:qFormat/>
    <w:rsid w:val="00D21730"/>
    <w:pPr>
      <w:tabs>
        <w:tab w:val="right" w:leader="dot" w:pos="9628"/>
      </w:tabs>
      <w:spacing w:after="100"/>
      <w:ind w:left="567"/>
    </w:pPr>
    <w:rPr>
      <w:rFonts w:asciiTheme="minorHAnsi" w:eastAsiaTheme="minorEastAsia" w:hAnsiTheme="minorHAnsi"/>
      <w:noProof/>
      <w:sz w:val="22"/>
      <w:szCs w:val="22"/>
    </w:rPr>
  </w:style>
  <w:style w:type="paragraph" w:styleId="TOC5">
    <w:name w:val="toc 5"/>
    <w:basedOn w:val="a"/>
    <w:next w:val="a"/>
    <w:semiHidden/>
    <w:unhideWhenUsed/>
    <w:rsid w:val="00D21730"/>
    <w:pPr>
      <w:tabs>
        <w:tab w:val="right" w:leader="dot" w:pos="9628"/>
      </w:tabs>
      <w:spacing w:after="100"/>
      <w:ind w:left="567"/>
    </w:pPr>
    <w:rPr>
      <w:szCs w:val="22"/>
    </w:rPr>
  </w:style>
  <w:style w:type="paragraph" w:styleId="TOC6">
    <w:name w:val="toc 6"/>
    <w:basedOn w:val="a"/>
    <w:next w:val="a"/>
    <w:autoRedefine/>
    <w:semiHidden/>
    <w:unhideWhenUsed/>
    <w:rsid w:val="00D21730"/>
    <w:pPr>
      <w:spacing w:after="100"/>
      <w:ind w:left="850"/>
    </w:pPr>
  </w:style>
  <w:style w:type="paragraph" w:styleId="TOC7">
    <w:name w:val="toc 7"/>
    <w:basedOn w:val="a"/>
    <w:next w:val="a"/>
    <w:autoRedefine/>
    <w:semiHidden/>
    <w:unhideWhenUsed/>
    <w:rsid w:val="00D21730"/>
    <w:pPr>
      <w:spacing w:after="100"/>
      <w:ind w:left="1020"/>
    </w:pPr>
  </w:style>
  <w:style w:type="paragraph" w:styleId="TOC8">
    <w:name w:val="toc 8"/>
    <w:basedOn w:val="a"/>
    <w:next w:val="a"/>
    <w:autoRedefine/>
    <w:semiHidden/>
    <w:unhideWhenUsed/>
    <w:rsid w:val="00D21730"/>
    <w:pPr>
      <w:spacing w:after="100"/>
      <w:ind w:left="1190"/>
    </w:pPr>
  </w:style>
  <w:style w:type="paragraph" w:styleId="TOC9">
    <w:name w:val="toc 9"/>
    <w:basedOn w:val="a"/>
    <w:next w:val="a"/>
    <w:autoRedefine/>
    <w:semiHidden/>
    <w:unhideWhenUsed/>
    <w:rsid w:val="00D21730"/>
    <w:pPr>
      <w:spacing w:after="100"/>
      <w:ind w:left="1360"/>
    </w:pPr>
  </w:style>
  <w:style w:type="paragraph" w:customStyle="1" w:styleId="TableHead2">
    <w:name w:val="Table Head2"/>
    <w:basedOn w:val="TableHead"/>
    <w:qFormat/>
    <w:rsid w:val="00D21730"/>
    <w:pPr>
      <w:outlineLvl w:val="9"/>
    </w:pPr>
  </w:style>
  <w:style w:type="paragraph" w:customStyle="1" w:styleId="TableSideHeading2">
    <w:name w:val="Table SideHeading2"/>
    <w:basedOn w:val="TableSideHeading"/>
    <w:autoRedefine/>
    <w:qFormat/>
    <w:rsid w:val="00D21730"/>
    <w:pPr>
      <w:keepLines w:val="0"/>
      <w:outlineLvl w:val="9"/>
    </w:pPr>
  </w:style>
  <w:style w:type="paragraph" w:customStyle="1" w:styleId="0">
    <w:name w:val="סגנון שורה ראשונה:  0  ס''מ"/>
    <w:basedOn w:val="2"/>
    <w:rsid w:val="00D21730"/>
    <w:rPr>
      <w:rFonts w:eastAsia="Times New Roman"/>
    </w:rPr>
  </w:style>
  <w:style w:type="paragraph" w:styleId="ae">
    <w:name w:val="List Paragraph"/>
    <w:basedOn w:val="a"/>
    <w:uiPriority w:val="34"/>
    <w:qFormat/>
    <w:rsid w:val="00D21730"/>
    <w:pPr>
      <w:widowControl/>
      <w:spacing w:line="259" w:lineRule="auto"/>
    </w:pPr>
    <w:rPr>
      <w:rFonts w:asciiTheme="minorHAnsi" w:hAnsiTheme="minorHAnsi"/>
      <w:sz w:val="22"/>
    </w:rPr>
  </w:style>
  <w:style w:type="table" w:styleId="af">
    <w:name w:val="Table Grid"/>
    <w:basedOn w:val="a1"/>
    <w:rsid w:val="00D21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D2173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2">
    <w:name w:val="Grid Table 1 Light"/>
    <w:basedOn w:val="a1"/>
    <w:uiPriority w:val="46"/>
    <w:rsid w:val="00D2173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f0">
    <w:name w:val="טבלת חקיקה"/>
    <w:basedOn w:val="a1"/>
    <w:uiPriority w:val="99"/>
    <w:rsid w:val="00D21730"/>
    <w:pPr>
      <w:jc w:val="center"/>
    </w:pPr>
    <w:rPr>
      <w:rFonts w:cstheme="minorBidi"/>
    </w:rPr>
    <w:tblPr/>
    <w:tcPr>
      <w:tcMar>
        <w:left w:w="0" w:type="dxa"/>
        <w:right w:w="0" w:type="dxa"/>
      </w:tcMar>
      <w:vAlign w:val="center"/>
    </w:tcPr>
    <w:tblStylePr w:type="firstRow">
      <w:pPr>
        <w:jc w:val="center"/>
      </w:pPr>
      <w:rPr>
        <w:rFonts w:cs="David"/>
        <w:bCs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auto" w:fill="auto"/>
      </w:tcPr>
    </w:tblStylePr>
    <w:tblStylePr w:type="firstCol">
      <w:tblPr/>
      <w:tcPr>
        <w:noWrap/>
      </w:tcPr>
    </w:tblStylePr>
    <w:tblStylePr w:type="lastCol">
      <w:pPr>
        <w:jc w:val="center"/>
      </w:pPr>
      <w:tblPr/>
      <w:tcPr>
        <w:noWrap/>
      </w:tcPr>
    </w:tblStylePr>
  </w:style>
  <w:style w:type="table" w:customStyle="1" w:styleId="13">
    <w:name w:val="סגנון1"/>
    <w:basedOn w:val="a1"/>
    <w:uiPriority w:val="99"/>
    <w:rsid w:val="00D21730"/>
    <w:tblPr/>
    <w:tblStylePr w:type="firstCol">
      <w:pPr>
        <w:keepNext w:val="0"/>
        <w:keepLines/>
        <w:pageBreakBefore w:val="0"/>
        <w:widowControl w:val="0"/>
        <w:suppressLineNumbers w:val="0"/>
        <w:suppressAutoHyphens w:val="0"/>
        <w:wordWrap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4E21C28B32ECF49ADBB6A5BBBCCB3CD" ma:contentTypeVersion="" ma:contentTypeDescription="צור מסמך חדש." ma:contentTypeScope="" ma:versionID="f81d89568b860eeaa06327f0f2d2f14b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D1492-24DA-4245-9574-A226BA4BBF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F4AFE3-9455-419C-8851-785A55F44517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290d5b49-c690-4c6f-bbb9-1e50dab33ee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6BC8326-05A0-4506-B8B9-1164B1817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461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לילך יעיש</cp:lastModifiedBy>
  <cp:revision>6</cp:revision>
  <cp:lastPrinted>2013-07-04T08:25:00Z</cp:lastPrinted>
  <dcterms:created xsi:type="dcterms:W3CDTF">2015-04-20T09:58:00Z</dcterms:created>
  <dcterms:modified xsi:type="dcterms:W3CDTF">2022-12-08T08:09:00Z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0x01010054E21C28B32ECF49ADBB6A5BBBCCB3CD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2197145</vt:r8>
  </property>
</Properties>
</file>